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7" w:rsidRPr="00D60575" w:rsidRDefault="00D60575" w:rsidP="00DC7027">
      <w:pPr>
        <w:pStyle w:val="NoSpacing"/>
        <w:rPr>
          <w:b/>
        </w:rPr>
      </w:pPr>
      <w:r w:rsidRPr="00D60575">
        <w:rPr>
          <w:b/>
        </w:rPr>
        <w:t>Date: 13.07.2015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632"/>
        <w:gridCol w:w="9348"/>
        <w:gridCol w:w="1350"/>
      </w:tblGrid>
      <w:tr w:rsidR="00812462" w:rsidTr="00812462">
        <w:tc>
          <w:tcPr>
            <w:tcW w:w="985" w:type="dxa"/>
            <w:shd w:val="clear" w:color="auto" w:fill="2E74B5" w:themeFill="accent1" w:themeFillShade="BF"/>
          </w:tcPr>
          <w:p w:rsidR="00812462" w:rsidRDefault="00812462" w:rsidP="00DC7027">
            <w:pPr>
              <w:pStyle w:val="NoSpacing"/>
            </w:pPr>
            <w:r>
              <w:t>ESO Ref.</w:t>
            </w:r>
          </w:p>
          <w:p w:rsidR="00812462" w:rsidRDefault="00812462" w:rsidP="00DC7027">
            <w:pPr>
              <w:pStyle w:val="NoSpacing"/>
            </w:pPr>
            <w:proofErr w:type="spellStart"/>
            <w:r>
              <w:t>Doc.No</w:t>
            </w:r>
            <w:proofErr w:type="spellEnd"/>
            <w:r>
              <w:t>.</w:t>
            </w:r>
          </w:p>
        </w:tc>
        <w:tc>
          <w:tcPr>
            <w:tcW w:w="990" w:type="dxa"/>
            <w:shd w:val="clear" w:color="auto" w:fill="2E74B5" w:themeFill="accent1" w:themeFillShade="BF"/>
          </w:tcPr>
          <w:p w:rsidR="00812462" w:rsidRDefault="00812462" w:rsidP="00DC7027">
            <w:pPr>
              <w:pStyle w:val="NoSpacing"/>
            </w:pPr>
            <w:r>
              <w:t>Division</w:t>
            </w:r>
          </w:p>
        </w:tc>
        <w:tc>
          <w:tcPr>
            <w:tcW w:w="1632" w:type="dxa"/>
            <w:shd w:val="clear" w:color="auto" w:fill="2E74B5" w:themeFill="accent1" w:themeFillShade="BF"/>
          </w:tcPr>
          <w:p w:rsidR="00812462" w:rsidRDefault="00812462" w:rsidP="00DC7027">
            <w:pPr>
              <w:pStyle w:val="NoSpacing"/>
            </w:pPr>
            <w:r>
              <w:t>Subject</w:t>
            </w:r>
          </w:p>
        </w:tc>
        <w:tc>
          <w:tcPr>
            <w:tcW w:w="9348" w:type="dxa"/>
            <w:shd w:val="clear" w:color="auto" w:fill="2E74B5" w:themeFill="accent1" w:themeFillShade="BF"/>
          </w:tcPr>
          <w:p w:rsidR="00812462" w:rsidRDefault="00812462" w:rsidP="00DC7027">
            <w:pPr>
              <w:pStyle w:val="NoSpacing"/>
            </w:pPr>
            <w:r>
              <w:t>Details</w:t>
            </w:r>
          </w:p>
        </w:tc>
        <w:tc>
          <w:tcPr>
            <w:tcW w:w="1350" w:type="dxa"/>
            <w:shd w:val="clear" w:color="auto" w:fill="2E74B5" w:themeFill="accent1" w:themeFillShade="BF"/>
          </w:tcPr>
          <w:p w:rsidR="00812462" w:rsidRDefault="00812462" w:rsidP="00DC7027">
            <w:pPr>
              <w:pStyle w:val="NoSpacing"/>
            </w:pPr>
            <w:r>
              <w:t>Scheduled for</w:t>
            </w:r>
          </w:p>
        </w:tc>
      </w:tr>
      <w:tr w:rsidR="00812462" w:rsidTr="00812462">
        <w:tc>
          <w:tcPr>
            <w:tcW w:w="985" w:type="dxa"/>
          </w:tcPr>
          <w:p w:rsidR="00812462" w:rsidRDefault="00D60575" w:rsidP="00DC7027">
            <w:pPr>
              <w:pStyle w:val="NoSpacing"/>
            </w:pPr>
            <w:r>
              <w:t>121</w:t>
            </w:r>
            <w:bookmarkStart w:id="0" w:name="_GoBack"/>
            <w:bookmarkEnd w:id="0"/>
          </w:p>
        </w:tc>
        <w:tc>
          <w:tcPr>
            <w:tcW w:w="990" w:type="dxa"/>
          </w:tcPr>
          <w:p w:rsidR="00812462" w:rsidRDefault="00812462" w:rsidP="00DC7027">
            <w:pPr>
              <w:pStyle w:val="NoSpacing"/>
            </w:pPr>
            <w:r>
              <w:t>DOP/PIP</w:t>
            </w:r>
          </w:p>
        </w:tc>
        <w:tc>
          <w:tcPr>
            <w:tcW w:w="1632" w:type="dxa"/>
          </w:tcPr>
          <w:p w:rsidR="00812462" w:rsidRDefault="00C47F7D" w:rsidP="00C47F7D">
            <w:pPr>
              <w:pStyle w:val="NoSpacing"/>
            </w:pPr>
            <w:r>
              <w:t>Manufacturing, Test and D</w:t>
            </w:r>
            <w:r w:rsidR="001B732A" w:rsidRPr="001B732A">
              <w:t xml:space="preserve">elivery of </w:t>
            </w:r>
            <w:r>
              <w:t>M</w:t>
            </w:r>
            <w:r w:rsidR="001B732A" w:rsidRPr="001B732A">
              <w:t xml:space="preserve">irrors for the </w:t>
            </w:r>
            <w:proofErr w:type="spellStart"/>
            <w:r w:rsidR="001B732A" w:rsidRPr="001B732A">
              <w:t>Coude</w:t>
            </w:r>
            <w:proofErr w:type="spellEnd"/>
            <w:r w:rsidR="001B732A" w:rsidRPr="001B732A">
              <w:t xml:space="preserve"> Train of the Auxiliary Telescopes</w:t>
            </w:r>
          </w:p>
        </w:tc>
        <w:tc>
          <w:tcPr>
            <w:tcW w:w="9348" w:type="dxa"/>
          </w:tcPr>
          <w:p w:rsidR="00812462" w:rsidRDefault="00812462" w:rsidP="00DC7027">
            <w:pPr>
              <w:pStyle w:val="NoSpacing"/>
            </w:pPr>
            <w:r>
              <w:t>The scope of this Call-for-Tender is to procure a new set of mirrors for the Auxiliary Telescopes of the Paranal Observatory.</w:t>
            </w:r>
            <w:r w:rsidR="00131C6F">
              <w:t xml:space="preserve"> </w:t>
            </w:r>
            <w:r>
              <w:t>The characteristics of the mirrors are given below:</w:t>
            </w:r>
          </w:p>
          <w:p w:rsidR="00812462" w:rsidRDefault="00812462" w:rsidP="00DC7027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559"/>
              <w:gridCol w:w="2268"/>
              <w:gridCol w:w="1984"/>
              <w:gridCol w:w="2092"/>
            </w:tblGrid>
            <w:tr w:rsidR="00131C6F" w:rsidRPr="00C3668C" w:rsidTr="008E6626">
              <w:tc>
                <w:tcPr>
                  <w:tcW w:w="1101" w:type="dxa"/>
                </w:tcPr>
                <w:p w:rsidR="00131C6F" w:rsidRPr="00C3668C" w:rsidRDefault="00131C6F" w:rsidP="00131C6F">
                  <w:pPr>
                    <w:spacing w:before="60" w:after="60"/>
                    <w:jc w:val="center"/>
                    <w:rPr>
                      <w:b/>
                      <w:szCs w:val="48"/>
                    </w:rPr>
                  </w:pPr>
                  <w:r w:rsidRPr="00C3668C">
                    <w:rPr>
                      <w:b/>
                      <w:szCs w:val="48"/>
                    </w:rPr>
                    <w:t>Mirror</w:t>
                  </w:r>
                </w:p>
              </w:tc>
              <w:tc>
                <w:tcPr>
                  <w:tcW w:w="1559" w:type="dxa"/>
                </w:tcPr>
                <w:p w:rsidR="00131C6F" w:rsidRPr="00C3668C" w:rsidRDefault="00131C6F" w:rsidP="00131C6F">
                  <w:pPr>
                    <w:spacing w:before="60" w:after="60"/>
                    <w:jc w:val="center"/>
                    <w:rPr>
                      <w:b/>
                      <w:szCs w:val="48"/>
                    </w:rPr>
                  </w:pPr>
                  <w:r w:rsidRPr="00C3668C">
                    <w:rPr>
                      <w:b/>
                      <w:szCs w:val="48"/>
                    </w:rPr>
                    <w:t>Shape</w:t>
                  </w:r>
                </w:p>
              </w:tc>
              <w:tc>
                <w:tcPr>
                  <w:tcW w:w="2268" w:type="dxa"/>
                </w:tcPr>
                <w:p w:rsidR="00131C6F" w:rsidRPr="00C3668C" w:rsidRDefault="00131C6F" w:rsidP="00131C6F">
                  <w:pPr>
                    <w:spacing w:before="60" w:after="60"/>
                    <w:jc w:val="center"/>
                    <w:rPr>
                      <w:b/>
                      <w:szCs w:val="48"/>
                    </w:rPr>
                  </w:pPr>
                  <w:r w:rsidRPr="00C3668C">
                    <w:rPr>
                      <w:b/>
                      <w:szCs w:val="48"/>
                    </w:rPr>
                    <w:t xml:space="preserve">Radius </w:t>
                  </w:r>
                  <w:r>
                    <w:rPr>
                      <w:b/>
                      <w:szCs w:val="48"/>
                    </w:rPr>
                    <w:t xml:space="preserve">of curvature </w:t>
                  </w:r>
                  <w:r w:rsidRPr="00C3668C">
                    <w:rPr>
                      <w:b/>
                      <w:szCs w:val="48"/>
                    </w:rPr>
                    <w:t>(mm)</w:t>
                  </w:r>
                </w:p>
              </w:tc>
              <w:tc>
                <w:tcPr>
                  <w:tcW w:w="1984" w:type="dxa"/>
                </w:tcPr>
                <w:p w:rsidR="00131C6F" w:rsidRPr="00C3668C" w:rsidRDefault="00131C6F" w:rsidP="00131C6F">
                  <w:pPr>
                    <w:spacing w:before="60" w:after="60"/>
                    <w:jc w:val="center"/>
                    <w:rPr>
                      <w:b/>
                      <w:szCs w:val="48"/>
                    </w:rPr>
                  </w:pPr>
                  <w:r w:rsidRPr="00C3668C">
                    <w:rPr>
                      <w:b/>
                      <w:szCs w:val="48"/>
                    </w:rPr>
                    <w:t>Diameter (mm)</w:t>
                  </w:r>
                </w:p>
              </w:tc>
              <w:tc>
                <w:tcPr>
                  <w:tcW w:w="2092" w:type="dxa"/>
                </w:tcPr>
                <w:p w:rsidR="00131C6F" w:rsidRPr="00C3668C" w:rsidRDefault="00131C6F" w:rsidP="00131C6F">
                  <w:pPr>
                    <w:spacing w:before="60" w:after="60"/>
                    <w:jc w:val="center"/>
                    <w:rPr>
                      <w:b/>
                      <w:szCs w:val="48"/>
                    </w:rPr>
                  </w:pPr>
                  <w:r w:rsidRPr="00C3668C">
                    <w:rPr>
                      <w:b/>
                      <w:szCs w:val="48"/>
                    </w:rPr>
                    <w:t>Thickness (mm)</w:t>
                  </w:r>
                </w:p>
              </w:tc>
            </w:tr>
            <w:tr w:rsidR="00131C6F" w:rsidRPr="007E701D" w:rsidTr="008E6626">
              <w:tc>
                <w:tcPr>
                  <w:tcW w:w="1101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M4</w:t>
                  </w:r>
                </w:p>
              </w:tc>
              <w:tc>
                <w:tcPr>
                  <w:tcW w:w="1559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Flat</w:t>
                  </w:r>
                </w:p>
              </w:tc>
              <w:tc>
                <w:tcPr>
                  <w:tcW w:w="2268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sym w:font="Symbol" w:char="F0A5"/>
                  </w:r>
                </w:p>
              </w:tc>
              <w:tc>
                <w:tcPr>
                  <w:tcW w:w="1984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76.2 ± 0.05</w:t>
                  </w:r>
                </w:p>
              </w:tc>
              <w:tc>
                <w:tcPr>
                  <w:tcW w:w="2092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14.7 ± 0.1</w:t>
                  </w:r>
                </w:p>
              </w:tc>
            </w:tr>
            <w:tr w:rsidR="00131C6F" w:rsidRPr="007E701D" w:rsidTr="008E6626">
              <w:tc>
                <w:tcPr>
                  <w:tcW w:w="1101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M5</w:t>
                  </w:r>
                </w:p>
              </w:tc>
              <w:tc>
                <w:tcPr>
                  <w:tcW w:w="1559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Spherical</w:t>
                  </w:r>
                </w:p>
              </w:tc>
              <w:tc>
                <w:tcPr>
                  <w:tcW w:w="2268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1595 ± 1</w:t>
                  </w:r>
                </w:p>
              </w:tc>
              <w:tc>
                <w:tcPr>
                  <w:tcW w:w="1984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106 +0 / -0.1</w:t>
                  </w:r>
                </w:p>
              </w:tc>
              <w:tc>
                <w:tcPr>
                  <w:tcW w:w="2092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14.2 ± 0.1 (centre)</w:t>
                  </w:r>
                </w:p>
              </w:tc>
            </w:tr>
            <w:tr w:rsidR="00131C6F" w:rsidRPr="007E701D" w:rsidTr="008E6626">
              <w:tc>
                <w:tcPr>
                  <w:tcW w:w="1101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M7</w:t>
                  </w:r>
                </w:p>
              </w:tc>
              <w:tc>
                <w:tcPr>
                  <w:tcW w:w="1559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Spherical</w:t>
                  </w:r>
                </w:p>
              </w:tc>
              <w:tc>
                <w:tcPr>
                  <w:tcW w:w="2268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3826 ± 2</w:t>
                  </w:r>
                </w:p>
              </w:tc>
              <w:tc>
                <w:tcPr>
                  <w:tcW w:w="1984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300 +0 / -0.2</w:t>
                  </w:r>
                </w:p>
              </w:tc>
              <w:tc>
                <w:tcPr>
                  <w:tcW w:w="2092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47.1 ± 0.1 (centre)</w:t>
                  </w:r>
                </w:p>
              </w:tc>
            </w:tr>
            <w:tr w:rsidR="00131C6F" w:rsidRPr="007E701D" w:rsidTr="008E6626">
              <w:tc>
                <w:tcPr>
                  <w:tcW w:w="1101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M8</w:t>
                  </w:r>
                </w:p>
              </w:tc>
              <w:tc>
                <w:tcPr>
                  <w:tcW w:w="1559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Cylindrical</w:t>
                  </w:r>
                </w:p>
              </w:tc>
              <w:tc>
                <w:tcPr>
                  <w:tcW w:w="2268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Rx &gt; 50 km</w:t>
                  </w:r>
                </w:p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Ry = 191 000 ± 1500</w:t>
                  </w:r>
                </w:p>
              </w:tc>
              <w:tc>
                <w:tcPr>
                  <w:tcW w:w="1984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204 ± 0.1</w:t>
                  </w:r>
                </w:p>
              </w:tc>
              <w:tc>
                <w:tcPr>
                  <w:tcW w:w="2092" w:type="dxa"/>
                </w:tcPr>
                <w:p w:rsidR="00131C6F" w:rsidRPr="007E701D" w:rsidRDefault="00131C6F" w:rsidP="00131C6F">
                  <w:pPr>
                    <w:spacing w:before="60" w:after="60"/>
                    <w:rPr>
                      <w:szCs w:val="48"/>
                    </w:rPr>
                  </w:pPr>
                  <w:r w:rsidRPr="007E701D">
                    <w:rPr>
                      <w:szCs w:val="48"/>
                    </w:rPr>
                    <w:t>40 ± 0.1</w:t>
                  </w:r>
                </w:p>
              </w:tc>
            </w:tr>
          </w:tbl>
          <w:p w:rsidR="00131C6F" w:rsidRDefault="00131C6F" w:rsidP="00DC7027">
            <w:pPr>
              <w:pStyle w:val="NoSpacing"/>
            </w:pPr>
            <w:r>
              <w:t xml:space="preserve">The mirrors shall be coated with </w:t>
            </w:r>
            <w:proofErr w:type="spellStart"/>
            <w:r w:rsidRPr="00131C6F">
              <w:t>Balzers</w:t>
            </w:r>
            <w:proofErr w:type="spellEnd"/>
            <w:r w:rsidRPr="00131C6F">
              <w:t xml:space="preserve"> </w:t>
            </w:r>
            <w:proofErr w:type="spellStart"/>
            <w:r w:rsidRPr="00131C6F">
              <w:t>Silflex</w:t>
            </w:r>
            <w:proofErr w:type="spellEnd"/>
            <w:r w:rsidRPr="00131C6F">
              <w:t xml:space="preserve"> MK II</w:t>
            </w:r>
            <w:r>
              <w:t xml:space="preserve"> or </w:t>
            </w:r>
            <w:r w:rsidRPr="00131C6F">
              <w:t xml:space="preserve">equivalent provided that </w:t>
            </w:r>
            <w:r>
              <w:t>the</w:t>
            </w:r>
            <w:r w:rsidRPr="00131C6F">
              <w:t xml:space="preserve"> reflectivity </w:t>
            </w:r>
            <w:r>
              <w:t>is</w:t>
            </w:r>
            <w:r w:rsidRPr="00131C6F">
              <w:t xml:space="preserve"> equal or higher</w:t>
            </w:r>
            <w:r>
              <w:t xml:space="preserve"> in the required spectral range 450-3500 nm.</w:t>
            </w:r>
          </w:p>
          <w:p w:rsidR="004B7CBA" w:rsidRDefault="004B7CBA" w:rsidP="00DC7027">
            <w:pPr>
              <w:pStyle w:val="NoSpacing"/>
            </w:pPr>
            <w:r>
              <w:t xml:space="preserve">The mirrors are </w:t>
            </w:r>
            <w:r w:rsidRPr="004B7CBA">
              <w:t xml:space="preserve">replica of </w:t>
            </w:r>
            <w:r>
              <w:t xml:space="preserve">existing mirrors currently in operation on the Auxiliary Telescopes.  Considering that </w:t>
            </w:r>
            <w:r w:rsidRPr="004B7CBA">
              <w:t xml:space="preserve">the radii of curvature must be the same, there will </w:t>
            </w:r>
            <w:r>
              <w:t>be no</w:t>
            </w:r>
            <w:r w:rsidRPr="004B7CBA">
              <w:t xml:space="preserve"> manufacturing tool adaptations</w:t>
            </w:r>
            <w:r>
              <w:t>.</w:t>
            </w:r>
            <w:r w:rsidR="0078403A">
              <w:t xml:space="preserve"> </w:t>
            </w:r>
          </w:p>
          <w:p w:rsidR="004B7CBA" w:rsidRDefault="004B7CBA" w:rsidP="00DC7027">
            <w:pPr>
              <w:pStyle w:val="NoSpacing"/>
            </w:pPr>
          </w:p>
          <w:p w:rsidR="0037657E" w:rsidRDefault="004B7CBA" w:rsidP="00DC7027">
            <w:pPr>
              <w:pStyle w:val="NoSpacing"/>
            </w:pPr>
            <w:r>
              <w:t xml:space="preserve">The </w:t>
            </w:r>
            <w:r w:rsidR="0078403A">
              <w:t>number of ordered mirror set (M4</w:t>
            </w:r>
            <w:proofErr w:type="gramStart"/>
            <w:r w:rsidR="0078403A">
              <w:t>,M5,M7,M8</w:t>
            </w:r>
            <w:proofErr w:type="gramEnd"/>
            <w:r w:rsidR="0078403A">
              <w:t>) may reach up to 5.</w:t>
            </w:r>
          </w:p>
          <w:p w:rsidR="0078403A" w:rsidRDefault="0078403A" w:rsidP="00DC7027">
            <w:pPr>
              <w:pStyle w:val="NoSpacing"/>
            </w:pPr>
          </w:p>
          <w:p w:rsidR="002804F1" w:rsidRDefault="002804F1" w:rsidP="00DC7027">
            <w:pPr>
              <w:pStyle w:val="NoSpacing"/>
            </w:pPr>
          </w:p>
          <w:p w:rsidR="002804F1" w:rsidRDefault="002804F1" w:rsidP="00DC7027">
            <w:pPr>
              <w:pStyle w:val="NoSpacing"/>
            </w:pPr>
            <w:r>
              <w:t>This procurement include the manufacturing, test and delivery of the mirrors to ESO Garching.</w:t>
            </w:r>
          </w:p>
          <w:p w:rsidR="002804F1" w:rsidRDefault="002804F1" w:rsidP="00DC7027">
            <w:pPr>
              <w:pStyle w:val="NoSpacing"/>
            </w:pPr>
          </w:p>
          <w:p w:rsidR="00131C6F" w:rsidRDefault="0037657E" w:rsidP="00DC7027">
            <w:pPr>
              <w:pStyle w:val="NoSpacing"/>
            </w:pPr>
            <w:r w:rsidRPr="0037657E">
              <w:t xml:space="preserve">The Call for </w:t>
            </w:r>
            <w:r>
              <w:t>tender</w:t>
            </w:r>
            <w:r w:rsidRPr="0037657E">
              <w:t xml:space="preserve"> is scheduled to be issued in the </w:t>
            </w:r>
            <w:r>
              <w:t>third quarter</w:t>
            </w:r>
            <w:r w:rsidRPr="0037657E">
              <w:t xml:space="preserve"> of 2015 to </w:t>
            </w:r>
            <w:r>
              <w:t>companies in ESO Member States</w:t>
            </w:r>
            <w:r w:rsidR="00B337EA">
              <w:t xml:space="preserve"> and </w:t>
            </w:r>
            <w:r w:rsidR="0012654E">
              <w:t>Brazil</w:t>
            </w:r>
            <w:r w:rsidRPr="0037657E">
              <w:t>.</w:t>
            </w:r>
          </w:p>
          <w:p w:rsidR="00131C6F" w:rsidRDefault="00131C6F" w:rsidP="00DC7027">
            <w:pPr>
              <w:pStyle w:val="NoSpacing"/>
            </w:pPr>
          </w:p>
          <w:p w:rsidR="00812462" w:rsidRDefault="00812462" w:rsidP="00DC7027">
            <w:pPr>
              <w:pStyle w:val="NoSpacing"/>
            </w:pPr>
          </w:p>
        </w:tc>
        <w:tc>
          <w:tcPr>
            <w:tcW w:w="1350" w:type="dxa"/>
          </w:tcPr>
          <w:p w:rsidR="00812462" w:rsidRDefault="00812462" w:rsidP="00DC7027">
            <w:pPr>
              <w:pStyle w:val="NoSpacing"/>
            </w:pPr>
            <w:r>
              <w:t>Q3 2015</w:t>
            </w:r>
          </w:p>
        </w:tc>
      </w:tr>
    </w:tbl>
    <w:p w:rsidR="00DC7027" w:rsidRPr="00DC7027" w:rsidRDefault="00DC7027" w:rsidP="00DC7027">
      <w:pPr>
        <w:pStyle w:val="NoSpacing"/>
      </w:pPr>
    </w:p>
    <w:sectPr w:rsidR="00DC7027" w:rsidRPr="00DC7027" w:rsidSect="0081246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7"/>
    <w:rsid w:val="0012654E"/>
    <w:rsid w:val="00131C6F"/>
    <w:rsid w:val="001B732A"/>
    <w:rsid w:val="002804F1"/>
    <w:rsid w:val="0037657E"/>
    <w:rsid w:val="004038BE"/>
    <w:rsid w:val="00475686"/>
    <w:rsid w:val="004B7CBA"/>
    <w:rsid w:val="005876AE"/>
    <w:rsid w:val="0078403A"/>
    <w:rsid w:val="00812462"/>
    <w:rsid w:val="008563C9"/>
    <w:rsid w:val="008C600B"/>
    <w:rsid w:val="00B337EA"/>
    <w:rsid w:val="00C47F7D"/>
    <w:rsid w:val="00D60575"/>
    <w:rsid w:val="00DC7027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252B8-7AF0-46FA-BD24-A4B7C65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C7027"/>
    <w:pPr>
      <w:spacing w:after="0" w:line="240" w:lineRule="auto"/>
    </w:pPr>
  </w:style>
  <w:style w:type="table" w:styleId="TableGrid">
    <w:name w:val="Table Grid"/>
    <w:basedOn w:val="TableNormal"/>
    <w:uiPriority w:val="39"/>
    <w:rsid w:val="00D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Lévêque</dc:creator>
  <cp:keywords/>
  <dc:description/>
  <cp:lastModifiedBy>Evelina Dietmann</cp:lastModifiedBy>
  <cp:revision>3</cp:revision>
  <cp:lastPrinted>2015-07-10T14:26:00Z</cp:lastPrinted>
  <dcterms:created xsi:type="dcterms:W3CDTF">2015-07-10T14:33:00Z</dcterms:created>
  <dcterms:modified xsi:type="dcterms:W3CDTF">2015-07-31T09:56:00Z</dcterms:modified>
</cp:coreProperties>
</file>